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D7E2" w14:textId="77777777" w:rsidR="006227BC" w:rsidRPr="00523FF7" w:rsidRDefault="006227BC" w:rsidP="006227BC">
      <w:pPr>
        <w:shd w:val="clear" w:color="auto" w:fill="FFFFFF"/>
        <w:spacing w:after="0"/>
        <w:jc w:val="center"/>
        <w:rPr>
          <w:rFonts w:ascii="Century" w:eastAsia="Calibri" w:hAnsi="Century"/>
          <w:sz w:val="24"/>
          <w:szCs w:val="24"/>
          <w:lang w:eastAsia="ru-RU"/>
        </w:rPr>
      </w:pPr>
      <w:bookmarkStart w:id="0" w:name="_Hlk69735875"/>
      <w:bookmarkStart w:id="1" w:name="_Hlk62647722"/>
      <w:r w:rsidRPr="00523FF7">
        <w:rPr>
          <w:rFonts w:ascii="Century" w:eastAsia="Calibri" w:hAnsi="Century"/>
          <w:noProof/>
          <w:sz w:val="24"/>
          <w:szCs w:val="24"/>
        </w:rPr>
        <w:drawing>
          <wp:inline distT="0" distB="0" distL="0" distR="0" wp14:anchorId="675FC97E" wp14:editId="60C1E759">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362E00F" w14:textId="77777777" w:rsidR="006227BC" w:rsidRPr="00523FF7" w:rsidRDefault="006227BC" w:rsidP="006227BC">
      <w:pPr>
        <w:shd w:val="clear" w:color="auto" w:fill="FFFFFF"/>
        <w:spacing w:after="0" w:line="240" w:lineRule="auto"/>
        <w:jc w:val="center"/>
        <w:rPr>
          <w:rFonts w:ascii="Century" w:eastAsia="Calibri" w:hAnsi="Century"/>
          <w:sz w:val="32"/>
          <w:szCs w:val="32"/>
          <w:lang w:eastAsia="ru-RU"/>
        </w:rPr>
      </w:pPr>
      <w:r w:rsidRPr="00523FF7">
        <w:rPr>
          <w:rFonts w:ascii="Century" w:eastAsia="Calibri" w:hAnsi="Century"/>
          <w:sz w:val="32"/>
          <w:szCs w:val="32"/>
          <w:lang w:eastAsia="ru-RU"/>
        </w:rPr>
        <w:t>УКРАЇНА</w:t>
      </w:r>
    </w:p>
    <w:p w14:paraId="533A4E0E" w14:textId="77777777" w:rsidR="006227BC" w:rsidRPr="00523FF7" w:rsidRDefault="006227BC" w:rsidP="006227BC">
      <w:pPr>
        <w:shd w:val="clear" w:color="auto" w:fill="FFFFFF"/>
        <w:spacing w:after="0" w:line="240" w:lineRule="auto"/>
        <w:jc w:val="center"/>
        <w:rPr>
          <w:rFonts w:ascii="Century" w:eastAsia="Calibri" w:hAnsi="Century"/>
          <w:b/>
          <w:sz w:val="32"/>
          <w:szCs w:val="24"/>
          <w:lang w:eastAsia="ru-RU"/>
        </w:rPr>
      </w:pPr>
      <w:r w:rsidRPr="00523FF7">
        <w:rPr>
          <w:rFonts w:ascii="Century" w:eastAsia="Calibri" w:hAnsi="Century"/>
          <w:b/>
          <w:sz w:val="32"/>
          <w:szCs w:val="24"/>
          <w:lang w:eastAsia="ru-RU"/>
        </w:rPr>
        <w:t>ГОРОДОЦЬКА МІСЬКА РАДА</w:t>
      </w:r>
    </w:p>
    <w:p w14:paraId="7ED1482C" w14:textId="77777777" w:rsidR="006227BC" w:rsidRPr="00523FF7" w:rsidRDefault="006227BC" w:rsidP="006227BC">
      <w:pPr>
        <w:shd w:val="clear" w:color="auto" w:fill="FFFFFF"/>
        <w:spacing w:after="0" w:line="240" w:lineRule="auto"/>
        <w:jc w:val="center"/>
        <w:rPr>
          <w:rFonts w:ascii="Century" w:eastAsia="Calibri" w:hAnsi="Century"/>
          <w:sz w:val="32"/>
          <w:szCs w:val="24"/>
          <w:lang w:eastAsia="ru-RU"/>
        </w:rPr>
      </w:pPr>
      <w:r w:rsidRPr="00523FF7">
        <w:rPr>
          <w:rFonts w:ascii="Century" w:eastAsia="Calibri" w:hAnsi="Century"/>
          <w:sz w:val="32"/>
          <w:szCs w:val="24"/>
          <w:lang w:eastAsia="ru-RU"/>
        </w:rPr>
        <w:t>ЛЬВІВСЬКОЇ ОБЛАСТІ</w:t>
      </w:r>
    </w:p>
    <w:p w14:paraId="3DCABF10" w14:textId="1F96C1D1" w:rsidR="006227BC" w:rsidRPr="00523FF7" w:rsidRDefault="00943BB5" w:rsidP="006227BC">
      <w:pPr>
        <w:shd w:val="clear" w:color="auto" w:fill="FFFFFF"/>
        <w:spacing w:after="0" w:line="240" w:lineRule="auto"/>
        <w:jc w:val="center"/>
        <w:rPr>
          <w:rFonts w:ascii="Century" w:eastAsia="Calibri" w:hAnsi="Century"/>
          <w:bCs/>
          <w:sz w:val="28"/>
          <w:szCs w:val="28"/>
          <w:lang w:eastAsia="ru-RU"/>
        </w:rPr>
      </w:pPr>
      <w:r w:rsidRPr="00523FF7">
        <w:rPr>
          <w:rFonts w:ascii="Century" w:eastAsia="Calibri" w:hAnsi="Century"/>
          <w:b/>
          <w:sz w:val="28"/>
          <w:szCs w:val="28"/>
          <w:lang w:eastAsia="ru-RU"/>
        </w:rPr>
        <w:t>1</w:t>
      </w:r>
      <w:r w:rsidR="0039737C" w:rsidRPr="00523FF7">
        <w:rPr>
          <w:rFonts w:ascii="Century" w:eastAsia="Calibri" w:hAnsi="Century"/>
          <w:b/>
          <w:sz w:val="28"/>
          <w:szCs w:val="28"/>
          <w:lang w:eastAsia="ru-RU"/>
        </w:rPr>
        <w:t>7</w:t>
      </w:r>
      <w:r w:rsidR="006227BC" w:rsidRPr="00523FF7">
        <w:rPr>
          <w:rFonts w:ascii="Century" w:eastAsia="Calibri" w:hAnsi="Century"/>
          <w:b/>
          <w:sz w:val="28"/>
          <w:szCs w:val="28"/>
          <w:lang w:eastAsia="ru-RU"/>
        </w:rPr>
        <w:t xml:space="preserve"> </w:t>
      </w:r>
      <w:r w:rsidR="006227BC" w:rsidRPr="00523FF7">
        <w:rPr>
          <w:rFonts w:ascii="Century" w:eastAsia="Calibri" w:hAnsi="Century"/>
          <w:bCs/>
          <w:caps/>
          <w:sz w:val="28"/>
          <w:szCs w:val="28"/>
          <w:lang w:eastAsia="ru-RU"/>
        </w:rPr>
        <w:t>сесія восьмого скликання</w:t>
      </w:r>
    </w:p>
    <w:p w14:paraId="2610A50D" w14:textId="77777777" w:rsidR="006227BC" w:rsidRPr="00523FF7" w:rsidRDefault="006227BC" w:rsidP="006227BC">
      <w:pPr>
        <w:spacing w:after="0"/>
        <w:jc w:val="center"/>
        <w:rPr>
          <w:rFonts w:ascii="Century" w:eastAsia="Calibri" w:hAnsi="Century"/>
          <w:b/>
          <w:sz w:val="32"/>
          <w:szCs w:val="32"/>
          <w:lang w:eastAsia="ru-RU"/>
        </w:rPr>
      </w:pPr>
      <w:r w:rsidRPr="00523FF7">
        <w:rPr>
          <w:rFonts w:ascii="Century" w:eastAsia="Calibri" w:hAnsi="Century"/>
          <w:b/>
          <w:sz w:val="32"/>
          <w:szCs w:val="32"/>
          <w:lang w:eastAsia="ru-RU"/>
        </w:rPr>
        <w:t xml:space="preserve">РІШЕННЯ № </w:t>
      </w:r>
      <w:r w:rsidRPr="00523FF7">
        <w:rPr>
          <w:rFonts w:ascii="Century" w:eastAsia="Calibri" w:hAnsi="Century"/>
          <w:bCs/>
          <w:sz w:val="32"/>
          <w:szCs w:val="32"/>
          <w:lang w:eastAsia="ru-RU"/>
        </w:rPr>
        <w:t>_</w:t>
      </w:r>
    </w:p>
    <w:p w14:paraId="6798AE33" w14:textId="10F7CF95" w:rsidR="006227BC" w:rsidRPr="00523FF7" w:rsidRDefault="00E942A7" w:rsidP="00E942A7">
      <w:pPr>
        <w:spacing w:after="0" w:line="240" w:lineRule="auto"/>
        <w:rPr>
          <w:rFonts w:ascii="Century" w:eastAsia="Calibri" w:hAnsi="Century"/>
          <w:sz w:val="28"/>
          <w:szCs w:val="28"/>
          <w:lang w:eastAsia="ru-RU"/>
        </w:rPr>
      </w:pPr>
      <w:bookmarkStart w:id="2" w:name="_Hlk69735883"/>
      <w:bookmarkEnd w:id="0"/>
      <w:r w:rsidRPr="00523FF7">
        <w:rPr>
          <w:rFonts w:ascii="Century" w:eastAsia="Calibri" w:hAnsi="Century"/>
          <w:sz w:val="28"/>
          <w:szCs w:val="28"/>
          <w:lang w:eastAsia="ru-RU"/>
        </w:rPr>
        <w:t xml:space="preserve">23 </w:t>
      </w:r>
      <w:r w:rsidR="00943BB5" w:rsidRPr="00523FF7">
        <w:rPr>
          <w:rFonts w:ascii="Century" w:eastAsia="Calibri" w:hAnsi="Century"/>
          <w:sz w:val="28"/>
          <w:szCs w:val="28"/>
          <w:lang w:eastAsia="ru-RU"/>
        </w:rPr>
        <w:t>грудня</w:t>
      </w:r>
      <w:r w:rsidR="006227BC" w:rsidRPr="00523FF7">
        <w:rPr>
          <w:rFonts w:ascii="Century" w:eastAsia="Calibri" w:hAnsi="Century"/>
          <w:sz w:val="28"/>
          <w:szCs w:val="28"/>
          <w:lang w:eastAsia="ru-RU"/>
        </w:rPr>
        <w:t xml:space="preserve"> 2021 року</w:t>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006227BC" w:rsidRPr="00523FF7">
        <w:rPr>
          <w:rFonts w:ascii="Century" w:eastAsia="Calibri" w:hAnsi="Century"/>
          <w:sz w:val="28"/>
          <w:szCs w:val="28"/>
          <w:lang w:eastAsia="ru-RU"/>
        </w:rPr>
        <w:tab/>
      </w:r>
      <w:r w:rsidRPr="00523FF7">
        <w:rPr>
          <w:rFonts w:ascii="Century" w:eastAsia="Calibri" w:hAnsi="Century"/>
          <w:sz w:val="28"/>
          <w:szCs w:val="28"/>
          <w:lang w:eastAsia="ru-RU"/>
        </w:rPr>
        <w:tab/>
      </w:r>
      <w:r w:rsidR="006227BC" w:rsidRPr="00523FF7">
        <w:rPr>
          <w:rFonts w:ascii="Century" w:eastAsia="Calibri" w:hAnsi="Century"/>
          <w:sz w:val="28"/>
          <w:szCs w:val="28"/>
          <w:lang w:eastAsia="ru-RU"/>
        </w:rPr>
        <w:t xml:space="preserve"> </w:t>
      </w:r>
      <w:r w:rsidRPr="00523FF7">
        <w:rPr>
          <w:rFonts w:ascii="Century" w:eastAsia="Calibri" w:hAnsi="Century"/>
          <w:sz w:val="28"/>
          <w:szCs w:val="28"/>
          <w:lang w:eastAsia="ru-RU"/>
        </w:rPr>
        <w:t xml:space="preserve">   </w:t>
      </w:r>
      <w:r w:rsidR="006227BC" w:rsidRPr="00523FF7">
        <w:rPr>
          <w:rFonts w:ascii="Century" w:eastAsia="Calibri" w:hAnsi="Century"/>
          <w:sz w:val="28"/>
          <w:szCs w:val="28"/>
          <w:lang w:eastAsia="ru-RU"/>
        </w:rPr>
        <w:t>м. Городок</w:t>
      </w:r>
    </w:p>
    <w:bookmarkEnd w:id="1"/>
    <w:bookmarkEnd w:id="2"/>
    <w:p w14:paraId="07D45316" w14:textId="77777777" w:rsidR="00F426CA" w:rsidRPr="00523FF7" w:rsidRDefault="00F426CA" w:rsidP="00F426CA">
      <w:pPr>
        <w:spacing w:after="0" w:line="240" w:lineRule="auto"/>
        <w:rPr>
          <w:rFonts w:ascii="Century" w:hAnsi="Century" w:cs="Arial"/>
          <w:sz w:val="24"/>
          <w:szCs w:val="24"/>
        </w:rPr>
      </w:pPr>
    </w:p>
    <w:p w14:paraId="4C0B0734" w14:textId="77777777" w:rsidR="00943BB5" w:rsidRPr="00523FF7" w:rsidRDefault="00943BB5" w:rsidP="00523FF7">
      <w:pPr>
        <w:ind w:right="4958"/>
        <w:rPr>
          <w:rFonts w:ascii="Century" w:hAnsi="Century"/>
          <w:b/>
          <w:sz w:val="28"/>
          <w:szCs w:val="28"/>
        </w:rPr>
      </w:pPr>
      <w:r w:rsidRPr="00523FF7">
        <w:rPr>
          <w:rFonts w:ascii="Century" w:hAnsi="Century"/>
          <w:b/>
          <w:sz w:val="28"/>
          <w:szCs w:val="28"/>
        </w:rPr>
        <w:t>Про затвердження положення про систему енергетичного менеджменту</w:t>
      </w:r>
    </w:p>
    <w:p w14:paraId="4B7037F4" w14:textId="1286BFA9" w:rsidR="00943BB5" w:rsidRPr="00523FF7" w:rsidRDefault="00943BB5" w:rsidP="000368CB">
      <w:pPr>
        <w:ind w:firstLine="900"/>
        <w:jc w:val="both"/>
        <w:rPr>
          <w:rFonts w:ascii="Century" w:hAnsi="Century"/>
          <w:sz w:val="28"/>
          <w:szCs w:val="28"/>
        </w:rPr>
      </w:pPr>
      <w:r w:rsidRPr="00523FF7">
        <w:rPr>
          <w:rFonts w:ascii="Century" w:hAnsi="Century"/>
          <w:sz w:val="28"/>
          <w:szCs w:val="28"/>
        </w:rPr>
        <w:t xml:space="preserve">Відповідно до статті </w:t>
      </w:r>
      <w:r w:rsidR="00B86713">
        <w:rPr>
          <w:rFonts w:ascii="Century" w:hAnsi="Century"/>
          <w:sz w:val="28"/>
          <w:szCs w:val="28"/>
        </w:rPr>
        <w:t xml:space="preserve">26, </w:t>
      </w:r>
      <w:r w:rsidRPr="00523FF7">
        <w:rPr>
          <w:rFonts w:ascii="Century" w:hAnsi="Century"/>
          <w:sz w:val="28"/>
          <w:szCs w:val="28"/>
        </w:rPr>
        <w:t xml:space="preserve">40, пункту 3 частини 4 статті 42 Закону України «Про місцеве самоврядування в Україні», розпорядження Кабінету Міністрів України від 26 квітня 2017 року № 732-р «Про затвердження плану заходів із впровадження систем енергетичного менеджменту в бюджетних установах», </w:t>
      </w:r>
      <w:r w:rsidRPr="00523FF7">
        <w:rPr>
          <w:rFonts w:ascii="Century" w:hAnsi="Century"/>
          <w:sz w:val="28"/>
          <w:szCs w:val="28"/>
          <w:shd w:val="clear" w:color="auto" w:fill="FFFFFF"/>
        </w:rPr>
        <w:t>з метою організації запровадження системи енергетичного менеджменту та системи моніторингу, підготовки та впровадження заходів з підвищення ефекти</w:t>
      </w:r>
      <w:r w:rsidR="00164049" w:rsidRPr="00523FF7">
        <w:rPr>
          <w:rFonts w:ascii="Century" w:hAnsi="Century"/>
          <w:sz w:val="28"/>
          <w:szCs w:val="28"/>
          <w:shd w:val="clear" w:color="auto" w:fill="FFFFFF"/>
        </w:rPr>
        <w:t>вності енергоспоживання,</w:t>
      </w:r>
      <w:r w:rsidRPr="00523FF7">
        <w:rPr>
          <w:rFonts w:ascii="Century" w:hAnsi="Century"/>
          <w:sz w:val="28"/>
          <w:szCs w:val="28"/>
          <w:shd w:val="clear" w:color="auto" w:fill="FFFFFF"/>
        </w:rPr>
        <w:t xml:space="preserve"> залучення фінансування, запровадження системи стимулювання ощадного енергоспоживання, Городоцька міська рада</w:t>
      </w:r>
    </w:p>
    <w:p w14:paraId="5DE8BD09" w14:textId="72753DB3" w:rsidR="00C22D60" w:rsidRPr="00523FF7" w:rsidRDefault="00C22D60" w:rsidP="006227BC">
      <w:pPr>
        <w:jc w:val="center"/>
        <w:rPr>
          <w:rFonts w:ascii="Century" w:hAnsi="Century"/>
          <w:b/>
          <w:sz w:val="28"/>
          <w:szCs w:val="28"/>
        </w:rPr>
      </w:pPr>
      <w:r w:rsidRPr="00523FF7">
        <w:rPr>
          <w:rFonts w:ascii="Century" w:hAnsi="Century"/>
          <w:b/>
          <w:sz w:val="28"/>
          <w:szCs w:val="28"/>
        </w:rPr>
        <w:t>В</w:t>
      </w:r>
      <w:r w:rsidR="006227BC" w:rsidRPr="00523FF7">
        <w:rPr>
          <w:rFonts w:ascii="Century" w:hAnsi="Century"/>
          <w:b/>
          <w:sz w:val="28"/>
          <w:szCs w:val="28"/>
        </w:rPr>
        <w:t xml:space="preserve"> </w:t>
      </w:r>
      <w:r w:rsidRPr="00523FF7">
        <w:rPr>
          <w:rFonts w:ascii="Century" w:hAnsi="Century"/>
          <w:b/>
          <w:sz w:val="28"/>
          <w:szCs w:val="28"/>
        </w:rPr>
        <w:t>И</w:t>
      </w:r>
      <w:r w:rsidR="006227BC" w:rsidRPr="00523FF7">
        <w:rPr>
          <w:rFonts w:ascii="Century" w:hAnsi="Century"/>
          <w:b/>
          <w:sz w:val="28"/>
          <w:szCs w:val="28"/>
        </w:rPr>
        <w:t xml:space="preserve"> </w:t>
      </w:r>
      <w:r w:rsidRPr="00523FF7">
        <w:rPr>
          <w:rFonts w:ascii="Century" w:hAnsi="Century"/>
          <w:b/>
          <w:sz w:val="28"/>
          <w:szCs w:val="28"/>
        </w:rPr>
        <w:t>Р</w:t>
      </w:r>
      <w:r w:rsidR="006227BC" w:rsidRPr="00523FF7">
        <w:rPr>
          <w:rFonts w:ascii="Century" w:hAnsi="Century"/>
          <w:b/>
          <w:sz w:val="28"/>
          <w:szCs w:val="28"/>
        </w:rPr>
        <w:t xml:space="preserve"> </w:t>
      </w:r>
      <w:r w:rsidRPr="00523FF7">
        <w:rPr>
          <w:rFonts w:ascii="Century" w:hAnsi="Century"/>
          <w:b/>
          <w:sz w:val="28"/>
          <w:szCs w:val="28"/>
        </w:rPr>
        <w:t>І</w:t>
      </w:r>
      <w:r w:rsidR="006227BC" w:rsidRPr="00523FF7">
        <w:rPr>
          <w:rFonts w:ascii="Century" w:hAnsi="Century"/>
          <w:b/>
          <w:sz w:val="28"/>
          <w:szCs w:val="28"/>
        </w:rPr>
        <w:t xml:space="preserve"> </w:t>
      </w:r>
      <w:r w:rsidRPr="00523FF7">
        <w:rPr>
          <w:rFonts w:ascii="Century" w:hAnsi="Century"/>
          <w:b/>
          <w:sz w:val="28"/>
          <w:szCs w:val="28"/>
        </w:rPr>
        <w:t>Ш</w:t>
      </w:r>
      <w:r w:rsidR="006227BC" w:rsidRPr="00523FF7">
        <w:rPr>
          <w:rFonts w:ascii="Century" w:hAnsi="Century"/>
          <w:b/>
          <w:sz w:val="28"/>
          <w:szCs w:val="28"/>
        </w:rPr>
        <w:t xml:space="preserve"> </w:t>
      </w:r>
      <w:r w:rsidRPr="00523FF7">
        <w:rPr>
          <w:rFonts w:ascii="Century" w:hAnsi="Century"/>
          <w:b/>
          <w:sz w:val="28"/>
          <w:szCs w:val="28"/>
        </w:rPr>
        <w:t>И</w:t>
      </w:r>
      <w:r w:rsidR="006227BC" w:rsidRPr="00523FF7">
        <w:rPr>
          <w:rFonts w:ascii="Century" w:hAnsi="Century"/>
          <w:b/>
          <w:sz w:val="28"/>
          <w:szCs w:val="28"/>
        </w:rPr>
        <w:t xml:space="preserve"> </w:t>
      </w:r>
      <w:r w:rsidRPr="00523FF7">
        <w:rPr>
          <w:rFonts w:ascii="Century" w:hAnsi="Century"/>
          <w:b/>
          <w:sz w:val="28"/>
          <w:szCs w:val="28"/>
        </w:rPr>
        <w:t>Л</w:t>
      </w:r>
      <w:r w:rsidR="006227BC" w:rsidRPr="00523FF7">
        <w:rPr>
          <w:rFonts w:ascii="Century" w:hAnsi="Century"/>
          <w:b/>
          <w:sz w:val="28"/>
          <w:szCs w:val="28"/>
        </w:rPr>
        <w:t xml:space="preserve"> </w:t>
      </w:r>
      <w:r w:rsidRPr="00523FF7">
        <w:rPr>
          <w:rFonts w:ascii="Century" w:hAnsi="Century"/>
          <w:b/>
          <w:sz w:val="28"/>
          <w:szCs w:val="28"/>
        </w:rPr>
        <w:t>А:</w:t>
      </w:r>
    </w:p>
    <w:p w14:paraId="699D4CD9" w14:textId="4E09623B" w:rsidR="005207A1" w:rsidRPr="00523FF7" w:rsidRDefault="00395D51" w:rsidP="00EB2263">
      <w:pPr>
        <w:pStyle w:val="a5"/>
        <w:numPr>
          <w:ilvl w:val="0"/>
          <w:numId w:val="7"/>
        </w:numPr>
        <w:ind w:left="0" w:firstLine="0"/>
        <w:jc w:val="both"/>
        <w:rPr>
          <w:rFonts w:ascii="Century" w:hAnsi="Century"/>
          <w:sz w:val="28"/>
          <w:szCs w:val="28"/>
          <w:lang w:val="uk-UA" w:eastAsia="uk-UA"/>
        </w:rPr>
      </w:pPr>
      <w:r w:rsidRPr="00523FF7">
        <w:rPr>
          <w:rFonts w:ascii="Century" w:hAnsi="Century"/>
          <w:sz w:val="28"/>
          <w:szCs w:val="28"/>
          <w:lang w:val="uk-UA" w:eastAsia="uk-UA"/>
        </w:rPr>
        <w:t>Затвердити положення про систему енергетичного менеджменту       (далі – положення) згідно з додатком.</w:t>
      </w:r>
    </w:p>
    <w:p w14:paraId="1966E8B5" w14:textId="75217024" w:rsidR="00395D51" w:rsidRPr="00523FF7" w:rsidRDefault="00395D51" w:rsidP="00EB2263">
      <w:pPr>
        <w:pStyle w:val="a5"/>
        <w:numPr>
          <w:ilvl w:val="0"/>
          <w:numId w:val="7"/>
        </w:numPr>
        <w:spacing w:line="276" w:lineRule="auto"/>
        <w:ind w:left="0" w:firstLine="0"/>
        <w:jc w:val="both"/>
        <w:rPr>
          <w:rFonts w:ascii="Century" w:hAnsi="Century"/>
          <w:sz w:val="28"/>
          <w:szCs w:val="28"/>
          <w:lang w:val="uk-UA" w:eastAsia="uk-UA"/>
        </w:rPr>
      </w:pPr>
      <w:r w:rsidRPr="00523FF7">
        <w:rPr>
          <w:rFonts w:ascii="Century" w:hAnsi="Century"/>
          <w:sz w:val="28"/>
          <w:szCs w:val="28"/>
          <w:lang w:val="uk-UA" w:eastAsia="uk-UA"/>
        </w:rPr>
        <w:t xml:space="preserve">Керівникам управлінь, комунальних </w:t>
      </w:r>
      <w:r w:rsidR="004F4D02" w:rsidRPr="00523FF7">
        <w:rPr>
          <w:rFonts w:ascii="Century" w:hAnsi="Century"/>
          <w:sz w:val="28"/>
          <w:szCs w:val="28"/>
          <w:lang w:val="uk-UA" w:eastAsia="uk-UA"/>
        </w:rPr>
        <w:t xml:space="preserve">установ та </w:t>
      </w:r>
      <w:r w:rsidRPr="00523FF7">
        <w:rPr>
          <w:rFonts w:ascii="Century" w:hAnsi="Century"/>
          <w:sz w:val="28"/>
          <w:szCs w:val="28"/>
          <w:lang w:val="uk-UA" w:eastAsia="uk-UA"/>
        </w:rPr>
        <w:t xml:space="preserve">підприємств Городоцької </w:t>
      </w:r>
      <w:r w:rsidR="004F4D02" w:rsidRPr="00523FF7">
        <w:rPr>
          <w:rFonts w:ascii="Century" w:hAnsi="Century"/>
          <w:sz w:val="28"/>
          <w:szCs w:val="28"/>
          <w:lang w:val="uk-UA" w:eastAsia="uk-UA"/>
        </w:rPr>
        <w:t>міської ради</w:t>
      </w:r>
      <w:r w:rsidRPr="00523FF7">
        <w:rPr>
          <w:rFonts w:ascii="Century" w:hAnsi="Century"/>
          <w:sz w:val="28"/>
          <w:szCs w:val="28"/>
          <w:lang w:val="uk-UA" w:eastAsia="uk-UA"/>
        </w:rPr>
        <w:t xml:space="preserve">  забезпечити впровадження енергетичного менеджменту відповідно до положення.</w:t>
      </w:r>
    </w:p>
    <w:p w14:paraId="38D177E5" w14:textId="2E7B1FA7" w:rsidR="00F84670" w:rsidRPr="00523FF7" w:rsidRDefault="00164049" w:rsidP="00EB2263">
      <w:pPr>
        <w:pStyle w:val="a5"/>
        <w:widowControl w:val="0"/>
        <w:numPr>
          <w:ilvl w:val="0"/>
          <w:numId w:val="7"/>
        </w:numPr>
        <w:shd w:val="clear" w:color="auto" w:fill="FFFFFF"/>
        <w:autoSpaceDE w:val="0"/>
        <w:autoSpaceDN w:val="0"/>
        <w:adjustRightInd w:val="0"/>
        <w:ind w:left="0" w:firstLine="0"/>
        <w:jc w:val="both"/>
        <w:rPr>
          <w:rFonts w:ascii="Century" w:hAnsi="Century"/>
          <w:sz w:val="28"/>
          <w:szCs w:val="28"/>
          <w:lang w:val="uk-UA" w:eastAsia="uk-UA"/>
        </w:rPr>
      </w:pPr>
      <w:r w:rsidRPr="00523FF7">
        <w:rPr>
          <w:rFonts w:ascii="Century" w:hAnsi="Century"/>
          <w:sz w:val="28"/>
          <w:szCs w:val="28"/>
          <w:lang w:val="uk-UA" w:eastAsia="uk-UA"/>
        </w:rPr>
        <w:t xml:space="preserve">Контроль за виконанням рішення покласти на постійні комісії з питань ЖКГ, дорожньої інфраструктури, енергетики, підприємництва (В. </w:t>
      </w:r>
      <w:proofErr w:type="spellStart"/>
      <w:r w:rsidRPr="00523FF7">
        <w:rPr>
          <w:rFonts w:ascii="Century" w:hAnsi="Century"/>
          <w:sz w:val="28"/>
          <w:szCs w:val="28"/>
          <w:lang w:val="uk-UA" w:eastAsia="uk-UA"/>
        </w:rPr>
        <w:t>Пуцило</w:t>
      </w:r>
      <w:proofErr w:type="spellEnd"/>
      <w:r w:rsidRPr="00523FF7">
        <w:rPr>
          <w:rFonts w:ascii="Century" w:hAnsi="Century"/>
          <w:sz w:val="28"/>
          <w:szCs w:val="28"/>
          <w:lang w:val="uk-UA" w:eastAsia="uk-UA"/>
        </w:rPr>
        <w:t>) та</w:t>
      </w:r>
      <w:r w:rsidR="0039737C" w:rsidRPr="00523FF7">
        <w:rPr>
          <w:rFonts w:ascii="Century" w:hAnsi="Century"/>
          <w:sz w:val="28"/>
          <w:szCs w:val="28"/>
          <w:lang w:val="uk-UA" w:eastAsia="uk-UA"/>
        </w:rPr>
        <w:t xml:space="preserve"> комісію </w:t>
      </w:r>
      <w:r w:rsidRPr="00523FF7">
        <w:rPr>
          <w:rFonts w:ascii="Century" w:hAnsi="Century"/>
          <w:sz w:val="28"/>
          <w:szCs w:val="28"/>
          <w:lang w:val="uk-UA" w:eastAsia="uk-UA"/>
        </w:rPr>
        <w:t xml:space="preserve"> </w:t>
      </w:r>
      <w:r w:rsidR="0039737C" w:rsidRPr="00523FF7">
        <w:rPr>
          <w:rFonts w:ascii="Century" w:hAnsi="Century"/>
          <w:sz w:val="28"/>
          <w:szCs w:val="28"/>
          <w:lang w:val="uk-UA" w:eastAsia="uk-UA"/>
        </w:rPr>
        <w:t>з питань законності, регламенту, депутатської етики, забезпечення діяльності депутатів (</w:t>
      </w:r>
      <w:proofErr w:type="spellStart"/>
      <w:r w:rsidR="0039737C" w:rsidRPr="00523FF7">
        <w:rPr>
          <w:rFonts w:ascii="Century" w:hAnsi="Century"/>
          <w:sz w:val="28"/>
          <w:szCs w:val="28"/>
          <w:lang w:val="uk-UA" w:eastAsia="uk-UA"/>
        </w:rPr>
        <w:t>гол.О.Карапінка</w:t>
      </w:r>
      <w:proofErr w:type="spellEnd"/>
      <w:r w:rsidR="0039737C" w:rsidRPr="00523FF7">
        <w:rPr>
          <w:rFonts w:ascii="Century" w:hAnsi="Century"/>
          <w:sz w:val="28"/>
          <w:szCs w:val="28"/>
          <w:lang w:val="uk-UA" w:eastAsia="uk-UA"/>
        </w:rPr>
        <w:t>)</w:t>
      </w:r>
    </w:p>
    <w:p w14:paraId="674033D9" w14:textId="77777777" w:rsidR="006227BC" w:rsidRPr="00523FF7" w:rsidRDefault="006227BC" w:rsidP="00F426CA">
      <w:pPr>
        <w:tabs>
          <w:tab w:val="left" w:pos="7515"/>
        </w:tabs>
        <w:spacing w:after="0" w:line="240" w:lineRule="auto"/>
        <w:ind w:firstLine="851"/>
        <w:jc w:val="both"/>
        <w:rPr>
          <w:rFonts w:ascii="Century" w:hAnsi="Century"/>
          <w:sz w:val="28"/>
          <w:szCs w:val="28"/>
        </w:rPr>
      </w:pPr>
    </w:p>
    <w:p w14:paraId="04491C14" w14:textId="77777777" w:rsidR="00F84670" w:rsidRPr="00523FF7" w:rsidRDefault="00F84670" w:rsidP="00F426CA">
      <w:pPr>
        <w:tabs>
          <w:tab w:val="left" w:pos="7515"/>
        </w:tabs>
        <w:spacing w:after="0" w:line="240" w:lineRule="auto"/>
        <w:ind w:firstLine="851"/>
        <w:jc w:val="both"/>
        <w:rPr>
          <w:rFonts w:ascii="Century" w:hAnsi="Century"/>
          <w:sz w:val="28"/>
          <w:szCs w:val="28"/>
        </w:rPr>
      </w:pPr>
    </w:p>
    <w:p w14:paraId="1F503173" w14:textId="71098071" w:rsidR="00523FF7" w:rsidRDefault="00B91C8C" w:rsidP="00523FF7">
      <w:pPr>
        <w:spacing w:after="0" w:line="240" w:lineRule="auto"/>
        <w:jc w:val="both"/>
        <w:rPr>
          <w:rFonts w:ascii="Century" w:hAnsi="Century"/>
          <w:b/>
          <w:color w:val="000000"/>
          <w:sz w:val="28"/>
          <w:szCs w:val="28"/>
        </w:rPr>
      </w:pPr>
      <w:r w:rsidRPr="00523FF7">
        <w:rPr>
          <w:rFonts w:ascii="Century" w:hAnsi="Century"/>
          <w:b/>
          <w:color w:val="000000"/>
          <w:sz w:val="28"/>
          <w:szCs w:val="28"/>
        </w:rPr>
        <w:t xml:space="preserve">Міський голова </w:t>
      </w:r>
      <w:r w:rsidR="006227BC" w:rsidRPr="00523FF7">
        <w:rPr>
          <w:rFonts w:ascii="Century" w:hAnsi="Century"/>
          <w:b/>
          <w:color w:val="000000"/>
          <w:sz w:val="28"/>
          <w:szCs w:val="28"/>
        </w:rPr>
        <w:tab/>
      </w:r>
      <w:r w:rsidR="006227BC" w:rsidRPr="00523FF7">
        <w:rPr>
          <w:rFonts w:ascii="Century" w:hAnsi="Century"/>
          <w:b/>
          <w:color w:val="000000"/>
          <w:sz w:val="28"/>
          <w:szCs w:val="28"/>
        </w:rPr>
        <w:tab/>
      </w:r>
      <w:r w:rsidR="006227BC" w:rsidRPr="00523FF7">
        <w:rPr>
          <w:rFonts w:ascii="Century" w:hAnsi="Century"/>
          <w:b/>
          <w:color w:val="000000"/>
          <w:sz w:val="28"/>
          <w:szCs w:val="28"/>
        </w:rPr>
        <w:tab/>
      </w:r>
      <w:r w:rsidR="006227BC" w:rsidRPr="00523FF7">
        <w:rPr>
          <w:rFonts w:ascii="Century" w:hAnsi="Century"/>
          <w:b/>
          <w:color w:val="000000"/>
          <w:sz w:val="28"/>
          <w:szCs w:val="28"/>
        </w:rPr>
        <w:tab/>
      </w:r>
      <w:r w:rsidR="006227BC" w:rsidRPr="00523FF7">
        <w:rPr>
          <w:rFonts w:ascii="Century" w:hAnsi="Century"/>
          <w:b/>
          <w:color w:val="000000"/>
          <w:sz w:val="28"/>
          <w:szCs w:val="28"/>
        </w:rPr>
        <w:tab/>
        <w:t xml:space="preserve">          </w:t>
      </w:r>
      <w:r w:rsidRPr="00523FF7">
        <w:rPr>
          <w:rFonts w:ascii="Century" w:hAnsi="Century"/>
          <w:b/>
          <w:color w:val="000000"/>
          <w:sz w:val="28"/>
          <w:szCs w:val="28"/>
        </w:rPr>
        <w:t>Володимир РЕМЕНЯК</w:t>
      </w:r>
    </w:p>
    <w:p w14:paraId="1491751A" w14:textId="77777777" w:rsidR="00523FF7" w:rsidRDefault="00523FF7">
      <w:pPr>
        <w:rPr>
          <w:rFonts w:ascii="Century" w:hAnsi="Century"/>
          <w:b/>
          <w:color w:val="000000"/>
          <w:sz w:val="28"/>
          <w:szCs w:val="28"/>
        </w:rPr>
      </w:pPr>
      <w:r>
        <w:rPr>
          <w:rFonts w:ascii="Century" w:hAnsi="Century"/>
          <w:b/>
          <w:color w:val="000000"/>
          <w:sz w:val="28"/>
          <w:szCs w:val="28"/>
        </w:rPr>
        <w:br w:type="page"/>
      </w:r>
    </w:p>
    <w:p w14:paraId="457D3FE8" w14:textId="77777777" w:rsidR="0039737C" w:rsidRPr="00523FF7" w:rsidRDefault="0039737C" w:rsidP="00523FF7">
      <w:pPr>
        <w:spacing w:after="0" w:line="240" w:lineRule="auto"/>
        <w:jc w:val="both"/>
        <w:rPr>
          <w:rFonts w:ascii="Century" w:hAnsi="Century"/>
          <w:sz w:val="28"/>
          <w:szCs w:val="28"/>
        </w:rPr>
      </w:pPr>
    </w:p>
    <w:p w14:paraId="3367FF3F" w14:textId="77777777" w:rsidR="00523FF7" w:rsidRPr="00323940" w:rsidRDefault="00523FF7" w:rsidP="00523FF7">
      <w:pPr>
        <w:spacing w:after="0" w:line="240" w:lineRule="auto"/>
        <w:ind w:left="5103"/>
        <w:rPr>
          <w:rFonts w:ascii="Century" w:hAnsi="Century"/>
          <w:b/>
          <w:sz w:val="28"/>
          <w:szCs w:val="28"/>
        </w:rPr>
      </w:pPr>
      <w:r w:rsidRPr="00323940">
        <w:rPr>
          <w:rFonts w:ascii="Century" w:hAnsi="Century"/>
          <w:b/>
          <w:sz w:val="28"/>
          <w:szCs w:val="28"/>
        </w:rPr>
        <w:t xml:space="preserve">Додаток </w:t>
      </w:r>
    </w:p>
    <w:p w14:paraId="37B7F0CC" w14:textId="77777777" w:rsidR="00523FF7" w:rsidRPr="00523FF7" w:rsidRDefault="00523FF7" w:rsidP="00523FF7">
      <w:pPr>
        <w:spacing w:after="0" w:line="240" w:lineRule="auto"/>
        <w:ind w:left="5103"/>
        <w:rPr>
          <w:rFonts w:ascii="Century" w:hAnsi="Century"/>
          <w:spacing w:val="-8"/>
          <w:sz w:val="28"/>
          <w:szCs w:val="28"/>
          <w:shd w:val="clear" w:color="auto" w:fill="FFFFFF"/>
        </w:rPr>
      </w:pPr>
      <w:r w:rsidRPr="00523FF7">
        <w:rPr>
          <w:rFonts w:ascii="Century" w:hAnsi="Century"/>
          <w:spacing w:val="-8"/>
          <w:sz w:val="28"/>
          <w:szCs w:val="28"/>
          <w:shd w:val="clear" w:color="auto" w:fill="FFFFFF"/>
        </w:rPr>
        <w:t>до рішення сесії Городоцької міської ради Львівської області</w:t>
      </w:r>
    </w:p>
    <w:p w14:paraId="269DA4F1" w14:textId="72C591A2" w:rsidR="00523FF7" w:rsidRDefault="00523FF7" w:rsidP="00523FF7">
      <w:pPr>
        <w:spacing w:after="0" w:line="240" w:lineRule="auto"/>
        <w:ind w:left="5103"/>
        <w:rPr>
          <w:rFonts w:ascii="Century" w:hAnsi="Century"/>
          <w:spacing w:val="-8"/>
          <w:sz w:val="28"/>
          <w:szCs w:val="28"/>
          <w:shd w:val="clear" w:color="auto" w:fill="FFFFFF"/>
        </w:rPr>
      </w:pPr>
      <w:r w:rsidRPr="00523FF7">
        <w:rPr>
          <w:rFonts w:ascii="Century" w:hAnsi="Century"/>
          <w:spacing w:val="-8"/>
          <w:sz w:val="28"/>
          <w:szCs w:val="28"/>
          <w:shd w:val="clear" w:color="auto" w:fill="FFFFFF"/>
        </w:rPr>
        <w:t>23.12.2021 № __</w:t>
      </w:r>
    </w:p>
    <w:p w14:paraId="2070F39B" w14:textId="77777777" w:rsidR="00523FF7" w:rsidRPr="00523FF7" w:rsidRDefault="00523FF7" w:rsidP="00523FF7">
      <w:pPr>
        <w:spacing w:after="0" w:line="240" w:lineRule="auto"/>
        <w:ind w:left="5103"/>
        <w:rPr>
          <w:rFonts w:ascii="Century" w:hAnsi="Century"/>
          <w:spacing w:val="-8"/>
          <w:sz w:val="28"/>
          <w:szCs w:val="28"/>
          <w:shd w:val="clear" w:color="auto" w:fill="FFFFFF"/>
        </w:rPr>
      </w:pPr>
    </w:p>
    <w:p w14:paraId="7D841344" w14:textId="77777777" w:rsidR="00395D51" w:rsidRPr="00B11052" w:rsidRDefault="00395D51" w:rsidP="00B11052">
      <w:pPr>
        <w:spacing w:after="0" w:line="240" w:lineRule="auto"/>
        <w:jc w:val="center"/>
        <w:rPr>
          <w:rFonts w:ascii="Century" w:hAnsi="Century"/>
          <w:b/>
          <w:sz w:val="26"/>
          <w:szCs w:val="26"/>
        </w:rPr>
      </w:pPr>
      <w:r w:rsidRPr="00B11052">
        <w:rPr>
          <w:rFonts w:ascii="Century" w:hAnsi="Century"/>
          <w:b/>
          <w:sz w:val="26"/>
          <w:szCs w:val="26"/>
        </w:rPr>
        <w:t xml:space="preserve">ПОЛОЖЕННЯ </w:t>
      </w:r>
    </w:p>
    <w:p w14:paraId="4EE40CBE" w14:textId="77777777" w:rsidR="00395D51" w:rsidRPr="00B11052" w:rsidRDefault="00395D51" w:rsidP="00B11052">
      <w:pPr>
        <w:spacing w:after="0" w:line="240" w:lineRule="auto"/>
        <w:jc w:val="center"/>
        <w:rPr>
          <w:rFonts w:ascii="Century" w:hAnsi="Century"/>
          <w:sz w:val="26"/>
          <w:szCs w:val="26"/>
        </w:rPr>
      </w:pPr>
      <w:r w:rsidRPr="00B11052">
        <w:rPr>
          <w:rFonts w:ascii="Century" w:hAnsi="Century"/>
          <w:sz w:val="26"/>
          <w:szCs w:val="26"/>
        </w:rPr>
        <w:t>про систему енергетичного менеджменту</w:t>
      </w:r>
    </w:p>
    <w:p w14:paraId="5BB3B810" w14:textId="77777777" w:rsidR="00395D51" w:rsidRPr="00B11052" w:rsidRDefault="00395D51" w:rsidP="00B11052">
      <w:pPr>
        <w:spacing w:after="0" w:line="240" w:lineRule="auto"/>
        <w:jc w:val="center"/>
        <w:rPr>
          <w:rFonts w:ascii="Century" w:hAnsi="Century"/>
          <w:b/>
          <w:sz w:val="26"/>
          <w:szCs w:val="26"/>
        </w:rPr>
      </w:pPr>
      <w:r w:rsidRPr="00B11052">
        <w:rPr>
          <w:rFonts w:ascii="Century" w:hAnsi="Century"/>
          <w:b/>
          <w:sz w:val="26"/>
          <w:szCs w:val="26"/>
        </w:rPr>
        <w:t>1. Загальні положення</w:t>
      </w:r>
    </w:p>
    <w:p w14:paraId="18A918B4"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pacing w:val="-2"/>
          <w:sz w:val="26"/>
          <w:szCs w:val="26"/>
        </w:rPr>
        <w:t>1. Положення про систему енергетичного менеджменту (далі - положення)</w:t>
      </w:r>
      <w:r w:rsidRPr="00B11052">
        <w:rPr>
          <w:rFonts w:ascii="Century" w:hAnsi="Century"/>
          <w:sz w:val="26"/>
          <w:szCs w:val="26"/>
        </w:rPr>
        <w:t xml:space="preserve"> </w:t>
      </w:r>
      <w:r w:rsidRPr="00B11052">
        <w:rPr>
          <w:rFonts w:ascii="Century" w:hAnsi="Century"/>
          <w:spacing w:val="-8"/>
          <w:sz w:val="26"/>
          <w:szCs w:val="26"/>
        </w:rPr>
        <w:t xml:space="preserve">розроблено </w:t>
      </w:r>
      <w:r w:rsidRPr="00B11052">
        <w:rPr>
          <w:rFonts w:ascii="Century" w:hAnsi="Century"/>
          <w:spacing w:val="-8"/>
          <w:sz w:val="26"/>
          <w:szCs w:val="26"/>
          <w:shd w:val="clear" w:color="auto" w:fill="FFFFFF"/>
        </w:rPr>
        <w:t>з метою організації запровадження системи енергетичного менеджменту</w:t>
      </w:r>
      <w:r w:rsidRPr="00B11052">
        <w:rPr>
          <w:rFonts w:ascii="Century" w:hAnsi="Century"/>
          <w:sz w:val="26"/>
          <w:szCs w:val="26"/>
          <w:shd w:val="clear" w:color="auto" w:fill="FFFFFF"/>
        </w:rPr>
        <w:t xml:space="preserve"> та системи моніторингу (як складової системи </w:t>
      </w:r>
      <w:proofErr w:type="spellStart"/>
      <w:r w:rsidRPr="00B11052">
        <w:rPr>
          <w:rFonts w:ascii="Century" w:hAnsi="Century"/>
          <w:sz w:val="26"/>
          <w:szCs w:val="26"/>
          <w:shd w:val="clear" w:color="auto" w:fill="FFFFFF"/>
        </w:rPr>
        <w:t>енергоменеджменту</w:t>
      </w:r>
      <w:proofErr w:type="spellEnd"/>
      <w:r w:rsidRPr="00B11052">
        <w:rPr>
          <w:rFonts w:ascii="Century" w:hAnsi="Century"/>
          <w:sz w:val="26"/>
          <w:szCs w:val="26"/>
          <w:shd w:val="clear" w:color="auto" w:fill="FFFFFF"/>
        </w:rPr>
        <w:t>) на різних етапах енергоспоживання бюджетними установами, закладами, комунальними підприємствами для подальшого проведення аналізу і оцінки ефективності використання енергетичних ресурсів, підготовки та впровадження заходів з підвищення ефективності енергоспоживання, а також залучення фінансування, запровадження системи стимулювання ощадного енергоспоживання.</w:t>
      </w:r>
    </w:p>
    <w:p w14:paraId="2A257188"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Положення розроблено відповідно до Закону України «Про місцеве самоврядування в Україні», Закону України «Про енергозбереження», розпорядження Кабінету Міністрів України від 26 квітня 2017 року № 732-р «Про затвердження плану заходів із впровадження систем енергетичного менеджменту в бюджетних установах» та інших нормативно-правових актів у сфері енергозбереження.</w:t>
      </w:r>
    </w:p>
    <w:p w14:paraId="79813476" w14:textId="76260FE8"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 Метою затвердження положення є впровадження системи енергетичного моніторингу (СЕМ) шляхом організаційного забезпечення постійно діючої системи управління ефективністю енергоспоживання бюджетними закладами, установами, комунальними підприємствами, оплата за спожиті енергоносії у яких здійснюється за кошти</w:t>
      </w:r>
      <w:r w:rsidR="00164049" w:rsidRPr="00B11052">
        <w:rPr>
          <w:rFonts w:ascii="Century" w:hAnsi="Century"/>
          <w:sz w:val="26"/>
          <w:szCs w:val="26"/>
        </w:rPr>
        <w:t xml:space="preserve"> бюджету територіальної громади</w:t>
      </w:r>
      <w:r w:rsidRPr="00B11052">
        <w:rPr>
          <w:rFonts w:ascii="Century" w:hAnsi="Century"/>
          <w:sz w:val="26"/>
          <w:szCs w:val="26"/>
        </w:rPr>
        <w:t xml:space="preserve">. </w:t>
      </w:r>
    </w:p>
    <w:p w14:paraId="6CC68CB3"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3. Дія Положення поширюється на такі об’єкти моніторингу: </w:t>
      </w:r>
    </w:p>
    <w:p w14:paraId="1810965B" w14:textId="2D3D2A4C"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1) управління, бюджетні установи та заклади, оплата за спожиті енергоносії яких фінансується за кошти </w:t>
      </w:r>
      <w:r w:rsidR="005A2899" w:rsidRPr="00B11052">
        <w:rPr>
          <w:rFonts w:ascii="Century" w:hAnsi="Century"/>
          <w:sz w:val="26"/>
          <w:szCs w:val="26"/>
        </w:rPr>
        <w:t>міського бюджету</w:t>
      </w:r>
      <w:r w:rsidRPr="00B11052">
        <w:rPr>
          <w:rFonts w:ascii="Century" w:hAnsi="Century"/>
          <w:sz w:val="26"/>
          <w:szCs w:val="26"/>
        </w:rPr>
        <w:t>;</w:t>
      </w:r>
    </w:p>
    <w:p w14:paraId="4F64E71E" w14:textId="12658534"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 комунальні підприємства, оплата за спожиті енергоносії яких фінансується за кошти</w:t>
      </w:r>
      <w:r w:rsidR="005A2899" w:rsidRPr="00B11052">
        <w:rPr>
          <w:rFonts w:ascii="Century" w:hAnsi="Century"/>
          <w:sz w:val="26"/>
          <w:szCs w:val="26"/>
        </w:rPr>
        <w:t xml:space="preserve"> міського бюджету</w:t>
      </w:r>
      <w:r w:rsidRPr="00B11052">
        <w:rPr>
          <w:rFonts w:ascii="Century" w:hAnsi="Century"/>
          <w:sz w:val="26"/>
          <w:szCs w:val="26"/>
        </w:rPr>
        <w:t>.</w:t>
      </w:r>
    </w:p>
    <w:p w14:paraId="6D033D5E"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4. Основними завданнями СЕМ є: </w:t>
      </w:r>
    </w:p>
    <w:p w14:paraId="30562653"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1) оптимізація структури споживання енергоресурсів;</w:t>
      </w:r>
    </w:p>
    <w:p w14:paraId="74091CA2"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 підвищення ефективності використання всіх видів енергоресурсів;</w:t>
      </w:r>
    </w:p>
    <w:p w14:paraId="1C9C74EE"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3) покращення якості надання енергетичних послуг та можливостей для їх регулювання;</w:t>
      </w:r>
    </w:p>
    <w:p w14:paraId="393E8E86"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4) налагодження енергоефективної експлуатації будівель;</w:t>
      </w:r>
    </w:p>
    <w:p w14:paraId="2FEE9022"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5) формування ощадної поведінки у споживачів енергетичних послуг;</w:t>
      </w:r>
    </w:p>
    <w:p w14:paraId="6E1C3FF1"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6) впровадження системи стимулювання ощадного використання енергоресурсів;</w:t>
      </w:r>
    </w:p>
    <w:p w14:paraId="4CCDE75A" w14:textId="77777777" w:rsidR="00395D51" w:rsidRPr="00B11052" w:rsidRDefault="00395D51" w:rsidP="00B11052">
      <w:pPr>
        <w:spacing w:after="0" w:line="240" w:lineRule="auto"/>
        <w:ind w:firstLine="708"/>
        <w:jc w:val="both"/>
        <w:rPr>
          <w:rFonts w:ascii="Century" w:hAnsi="Century"/>
          <w:spacing w:val="-7"/>
          <w:sz w:val="26"/>
          <w:szCs w:val="26"/>
        </w:rPr>
      </w:pPr>
      <w:r w:rsidRPr="00B11052">
        <w:rPr>
          <w:rFonts w:ascii="Century" w:hAnsi="Century"/>
          <w:spacing w:val="-7"/>
          <w:sz w:val="26"/>
          <w:szCs w:val="26"/>
        </w:rPr>
        <w:t>7) скорочення використання бюджетних коштів на придбання енергоресурсів;</w:t>
      </w:r>
    </w:p>
    <w:p w14:paraId="13CED2A3" w14:textId="4E6B36B1"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lastRenderedPageBreak/>
        <w:t>8) залучення інвестицій у процеси технологічної та енергоефективної м</w:t>
      </w:r>
      <w:r w:rsidR="00435A12" w:rsidRPr="00B11052">
        <w:rPr>
          <w:rFonts w:ascii="Century" w:hAnsi="Century"/>
          <w:sz w:val="26"/>
          <w:szCs w:val="26"/>
        </w:rPr>
        <w:t>одернізації інфраструктури громади</w:t>
      </w:r>
      <w:r w:rsidRPr="00B11052">
        <w:rPr>
          <w:rFonts w:ascii="Century" w:hAnsi="Century"/>
          <w:sz w:val="26"/>
          <w:szCs w:val="26"/>
        </w:rPr>
        <w:t>.</w:t>
      </w:r>
    </w:p>
    <w:p w14:paraId="0073612E"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Для успішного виконання зазначених завдань необхідно забезпечити ефективне функціонування наступних підсистем:</w:t>
      </w:r>
    </w:p>
    <w:p w14:paraId="6563CA65"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1) моніторинг енергоспоживання;</w:t>
      </w:r>
    </w:p>
    <w:p w14:paraId="405876BC"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 планування впровадження заходів з підвищення ефективності енергоспоживання;</w:t>
      </w:r>
    </w:p>
    <w:p w14:paraId="1CCFDAC6"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3) залучення джерел щодо фінансування заходів з підвищення ефективності енергоспоживання;</w:t>
      </w:r>
    </w:p>
    <w:p w14:paraId="6D08948D"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4) контроль за ефективністю впровадження заходів з енергозбереження;</w:t>
      </w:r>
    </w:p>
    <w:p w14:paraId="7D37CF05"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5) навчання персоналу структурних підрозділів;</w:t>
      </w:r>
    </w:p>
    <w:p w14:paraId="610DDEF0"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6) мотивація ощадного енергоспоживання.</w:t>
      </w:r>
    </w:p>
    <w:p w14:paraId="6C2E7B38" w14:textId="77777777" w:rsidR="00395D51" w:rsidRPr="00B11052" w:rsidRDefault="00395D51" w:rsidP="00B11052">
      <w:pPr>
        <w:spacing w:after="0" w:line="240" w:lineRule="auto"/>
        <w:rPr>
          <w:rFonts w:ascii="Century" w:hAnsi="Century"/>
          <w:b/>
          <w:sz w:val="26"/>
          <w:szCs w:val="26"/>
        </w:rPr>
      </w:pPr>
    </w:p>
    <w:p w14:paraId="4E3A11F9" w14:textId="77777777" w:rsidR="00395D51" w:rsidRPr="00B11052" w:rsidRDefault="00395D51" w:rsidP="00B11052">
      <w:pPr>
        <w:spacing w:after="0" w:line="240" w:lineRule="auto"/>
        <w:jc w:val="center"/>
        <w:rPr>
          <w:rFonts w:ascii="Century" w:hAnsi="Century"/>
          <w:b/>
          <w:sz w:val="26"/>
          <w:szCs w:val="26"/>
        </w:rPr>
      </w:pPr>
      <w:r w:rsidRPr="00B11052">
        <w:rPr>
          <w:rFonts w:ascii="Century" w:hAnsi="Century"/>
          <w:b/>
          <w:sz w:val="26"/>
          <w:szCs w:val="26"/>
        </w:rPr>
        <w:t xml:space="preserve">2. Функціонування системи </w:t>
      </w:r>
      <w:proofErr w:type="spellStart"/>
      <w:r w:rsidRPr="00B11052">
        <w:rPr>
          <w:rFonts w:ascii="Century" w:hAnsi="Century"/>
          <w:b/>
          <w:sz w:val="26"/>
          <w:szCs w:val="26"/>
        </w:rPr>
        <w:t>енергомоніторингу</w:t>
      </w:r>
      <w:proofErr w:type="spellEnd"/>
      <w:r w:rsidRPr="00B11052">
        <w:rPr>
          <w:rFonts w:ascii="Century" w:hAnsi="Century"/>
          <w:b/>
          <w:sz w:val="26"/>
          <w:szCs w:val="26"/>
        </w:rPr>
        <w:t xml:space="preserve"> та </w:t>
      </w:r>
      <w:proofErr w:type="spellStart"/>
      <w:r w:rsidRPr="00B11052">
        <w:rPr>
          <w:rFonts w:ascii="Century" w:hAnsi="Century"/>
          <w:b/>
          <w:sz w:val="26"/>
          <w:szCs w:val="26"/>
        </w:rPr>
        <w:t>енергоменеджменту</w:t>
      </w:r>
      <w:proofErr w:type="spellEnd"/>
    </w:p>
    <w:p w14:paraId="24D05666" w14:textId="515F2FC2"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1. Основою СЕМ є проведення моніторингу енергоспоживання паливно-енергетичних ресурсів (далі - </w:t>
      </w:r>
      <w:proofErr w:type="spellStart"/>
      <w:r w:rsidRPr="00B11052">
        <w:rPr>
          <w:rFonts w:ascii="Century" w:hAnsi="Century"/>
          <w:sz w:val="26"/>
          <w:szCs w:val="26"/>
        </w:rPr>
        <w:t>енергомоніторинг</w:t>
      </w:r>
      <w:proofErr w:type="spellEnd"/>
      <w:r w:rsidRPr="00B11052">
        <w:rPr>
          <w:rFonts w:ascii="Century" w:hAnsi="Century"/>
          <w:sz w:val="26"/>
          <w:szCs w:val="26"/>
        </w:rPr>
        <w:t xml:space="preserve">), який здійснюється шляхом фіксації показників приладів обліку енергоносіїв  або фактичних обсягів спожитих енергоресурсів. </w:t>
      </w:r>
    </w:p>
    <w:p w14:paraId="678F51D5"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2. Система </w:t>
      </w:r>
      <w:proofErr w:type="spellStart"/>
      <w:r w:rsidRPr="00B11052">
        <w:rPr>
          <w:rFonts w:ascii="Century" w:hAnsi="Century"/>
          <w:sz w:val="26"/>
          <w:szCs w:val="26"/>
        </w:rPr>
        <w:t>енергоменеджменту</w:t>
      </w:r>
      <w:proofErr w:type="spellEnd"/>
      <w:r w:rsidRPr="00B11052">
        <w:rPr>
          <w:rFonts w:ascii="Century" w:hAnsi="Century"/>
          <w:sz w:val="26"/>
          <w:szCs w:val="26"/>
        </w:rPr>
        <w:t xml:space="preserve"> є багаторівневою організаційною структурою, до якої входять відповідальні особи: </w:t>
      </w:r>
    </w:p>
    <w:p w14:paraId="00433CDD" w14:textId="518B32FC"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2.1.  заступник міського голови: </w:t>
      </w:r>
    </w:p>
    <w:p w14:paraId="2E828DA7"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1) здійснює координацію роботи задіяних структурних підрозділів виконавчого комітету міської ради, бюджетних установ, закладів, комунальних підприємств;</w:t>
      </w:r>
    </w:p>
    <w:p w14:paraId="61810F51"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2) контролює загальний стан енергоефективності установ, закладів бюджетної сфери та стан реалізації проектів з підвищення ефективності енергоспоживання; </w:t>
      </w:r>
    </w:p>
    <w:p w14:paraId="2F3581E0"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 xml:space="preserve">3) проводить обговорення проблем щодо споживання енергоресурсів та шляхів їх вирішення з керівництвом задіяних структурних підрозділів, бюджетних установ, закладів, комунальних підприємств з питань </w:t>
      </w:r>
      <w:proofErr w:type="spellStart"/>
      <w:r w:rsidRPr="00B11052">
        <w:rPr>
          <w:rFonts w:ascii="Century" w:hAnsi="Century"/>
          <w:sz w:val="26"/>
          <w:szCs w:val="26"/>
        </w:rPr>
        <w:t>енергомоніторингу</w:t>
      </w:r>
      <w:proofErr w:type="spellEnd"/>
      <w:r w:rsidRPr="00B11052">
        <w:rPr>
          <w:rFonts w:ascii="Century" w:hAnsi="Century"/>
          <w:sz w:val="26"/>
          <w:szCs w:val="26"/>
        </w:rPr>
        <w:t>;</w:t>
      </w:r>
    </w:p>
    <w:p w14:paraId="32C433FC"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4) бере участь у представницьких заходах.</w:t>
      </w:r>
    </w:p>
    <w:p w14:paraId="2C0B1A92"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2.2. керівники галузі:</w:t>
      </w:r>
    </w:p>
    <w:p w14:paraId="41072C94"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1) координують роботу об’єктів моніторингу по галузі;</w:t>
      </w:r>
    </w:p>
    <w:p w14:paraId="4B4605ED" w14:textId="5F16DFE0"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 надають відомості щодо визначення відповідальних осіб (назва закладу, установи, адреса, ПІБ відповідального, контактний номер тел</w:t>
      </w:r>
      <w:r w:rsidR="005A2899" w:rsidRPr="00B11052">
        <w:rPr>
          <w:rFonts w:ascii="Century" w:hAnsi="Century"/>
          <w:sz w:val="26"/>
          <w:szCs w:val="26"/>
        </w:rPr>
        <w:t xml:space="preserve">ефону, електронна адреса.) </w:t>
      </w:r>
      <w:r w:rsidRPr="00B11052">
        <w:rPr>
          <w:rFonts w:ascii="Century" w:hAnsi="Century"/>
          <w:sz w:val="26"/>
          <w:szCs w:val="26"/>
        </w:rPr>
        <w:t xml:space="preserve"> заступнику міського голови;</w:t>
      </w:r>
    </w:p>
    <w:p w14:paraId="585E3EF8"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3) беруть участь у заходах з обговорення проблем щодо споживання енергоресурсів та шляхів їх вирішення;</w:t>
      </w:r>
    </w:p>
    <w:p w14:paraId="32A2A32F"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2.3. керівники об’єктів моніторингу:</w:t>
      </w:r>
    </w:p>
    <w:p w14:paraId="245B1BEA"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1) призначають відповідальних осіб за моніторинг споживання енергоресурсів та впровадження енергоефективних заходів, забезпечують їх вільний доступ до комп’ютеризованого робочого місця з підключенням до мережі Інтернет та призначають осіб, які виконують обов’язки у разі тимчасової відсутності призначених відповідальних осіб;</w:t>
      </w:r>
    </w:p>
    <w:p w14:paraId="33A1972C"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lastRenderedPageBreak/>
        <w:t>2) надають відомості щодо визначення відповідальних осіб (назва закладу, установи, адреса, ПІБ відповідального, контактний номер телефону, електронна адреса) для керівника галузі;</w:t>
      </w:r>
    </w:p>
    <w:p w14:paraId="59313EBC" w14:textId="3CE17521"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3) контролюють процес збору та передачі показників, у разі відхилення більше як на 10% і більше відсотків від встановленого ліміту споживання ПЕР надають письмове повідомлення  заступнику міського голови про причини відхилення та пропозиції щодо заходів з їх усунення;</w:t>
      </w:r>
    </w:p>
    <w:p w14:paraId="5140A4A3"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4) беруть участь у тематичних навчаннях, семінарах, тренінгах;</w:t>
      </w:r>
    </w:p>
    <w:p w14:paraId="37F8E219"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5) готують пропозиції з впровадження енергозберігаючих заходів;</w:t>
      </w:r>
    </w:p>
    <w:p w14:paraId="6206AD99"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6) несуть відповідальність за неперервність обліку енергоносіїв, вчасне проходження засобами обліку енергоносіїв відповідної повірки.</w:t>
      </w:r>
    </w:p>
    <w:p w14:paraId="353EC297" w14:textId="77777777"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z w:val="26"/>
          <w:szCs w:val="26"/>
        </w:rPr>
        <w:t>6) несуть персональну відповідальність за вчасне та якісне внесення показників до СЕМ.</w:t>
      </w:r>
    </w:p>
    <w:p w14:paraId="11B4F667" w14:textId="5AFAC542" w:rsidR="00395D51" w:rsidRPr="00B11052" w:rsidRDefault="0013747A" w:rsidP="00B11052">
      <w:pPr>
        <w:spacing w:after="0" w:line="240" w:lineRule="auto"/>
        <w:ind w:firstLine="708"/>
        <w:jc w:val="both"/>
        <w:rPr>
          <w:rFonts w:ascii="Century" w:hAnsi="Century"/>
          <w:sz w:val="26"/>
          <w:szCs w:val="26"/>
        </w:rPr>
      </w:pPr>
      <w:r w:rsidRPr="00B11052">
        <w:rPr>
          <w:rFonts w:ascii="Century" w:hAnsi="Century"/>
          <w:sz w:val="26"/>
          <w:szCs w:val="26"/>
        </w:rPr>
        <w:t>2.</w:t>
      </w:r>
      <w:r w:rsidR="002128D2" w:rsidRPr="00B11052">
        <w:rPr>
          <w:rFonts w:ascii="Century" w:hAnsi="Century"/>
          <w:sz w:val="26"/>
          <w:szCs w:val="26"/>
        </w:rPr>
        <w:t>4</w:t>
      </w:r>
      <w:r w:rsidR="00395D51" w:rsidRPr="00B11052">
        <w:rPr>
          <w:rFonts w:ascii="Century" w:hAnsi="Century"/>
          <w:sz w:val="26"/>
          <w:szCs w:val="26"/>
        </w:rPr>
        <w:t xml:space="preserve"> відповідальні особи за </w:t>
      </w:r>
      <w:proofErr w:type="spellStart"/>
      <w:r w:rsidR="00395D51" w:rsidRPr="00B11052">
        <w:rPr>
          <w:rFonts w:ascii="Century" w:hAnsi="Century"/>
          <w:sz w:val="26"/>
          <w:szCs w:val="26"/>
        </w:rPr>
        <w:t>енергоменеджмент</w:t>
      </w:r>
      <w:proofErr w:type="spellEnd"/>
      <w:r w:rsidR="00395D51" w:rsidRPr="00B11052">
        <w:rPr>
          <w:rFonts w:ascii="Century" w:hAnsi="Century"/>
          <w:sz w:val="26"/>
          <w:szCs w:val="26"/>
        </w:rPr>
        <w:t xml:space="preserve"> та ведення системи програмного забезпечення (СПЗ) бюджетної установи, закладу, комунального підприємства:</w:t>
      </w:r>
    </w:p>
    <w:p w14:paraId="665D992B" w14:textId="666F1CC2" w:rsidR="00395D51" w:rsidRPr="00B11052" w:rsidRDefault="002128D2" w:rsidP="00B11052">
      <w:pPr>
        <w:spacing w:after="0" w:line="240" w:lineRule="auto"/>
        <w:ind w:firstLine="708"/>
        <w:jc w:val="both"/>
        <w:rPr>
          <w:rFonts w:ascii="Century" w:hAnsi="Century"/>
          <w:sz w:val="26"/>
          <w:szCs w:val="26"/>
        </w:rPr>
      </w:pPr>
      <w:r w:rsidRPr="00B11052">
        <w:rPr>
          <w:rFonts w:ascii="Century" w:hAnsi="Century"/>
          <w:sz w:val="26"/>
          <w:szCs w:val="26"/>
        </w:rPr>
        <w:t>1</w:t>
      </w:r>
      <w:r w:rsidR="00395D51" w:rsidRPr="00B11052">
        <w:rPr>
          <w:rFonts w:ascii="Century" w:hAnsi="Century"/>
          <w:sz w:val="26"/>
          <w:szCs w:val="26"/>
        </w:rPr>
        <w:t xml:space="preserve">) проводять систематичний збір показників усіх засобів обліку. Отримані показники </w:t>
      </w:r>
      <w:r w:rsidR="00F67B79" w:rsidRPr="00B11052">
        <w:rPr>
          <w:rFonts w:ascii="Century" w:hAnsi="Century"/>
          <w:sz w:val="26"/>
          <w:szCs w:val="26"/>
        </w:rPr>
        <w:t>щоп’ятниці</w:t>
      </w:r>
      <w:r w:rsidR="00395D51" w:rsidRPr="00B11052">
        <w:rPr>
          <w:rFonts w:ascii="Century" w:hAnsi="Century"/>
          <w:sz w:val="26"/>
          <w:szCs w:val="26"/>
        </w:rPr>
        <w:t xml:space="preserve"> вносять до СПЗ. Проводять оперативний контроль за споживанням ПЕР, у разі відхилення показника у більшу сторону на 10 і більше відсотків від встановленого ліміту, відповідальні особи доводять до відома керівника установи, закладу, комунального підприємства та упродовж одного робочого дня з’ясовують причину відхилення. Після виявлення причини такого відхилення проводять дії для недопущення виникнення подібних ситуацій у майбутньому. У разі виявлення несправності засобу обліку – інформують  керівника </w:t>
      </w:r>
      <w:r w:rsidR="009B0E29" w:rsidRPr="00B11052">
        <w:rPr>
          <w:rFonts w:ascii="Century" w:hAnsi="Century"/>
          <w:sz w:val="26"/>
          <w:szCs w:val="26"/>
        </w:rPr>
        <w:t xml:space="preserve">установи </w:t>
      </w:r>
      <w:r w:rsidR="00395D51" w:rsidRPr="00B11052">
        <w:rPr>
          <w:rFonts w:ascii="Century" w:hAnsi="Century"/>
          <w:sz w:val="26"/>
          <w:szCs w:val="26"/>
        </w:rPr>
        <w:t>для у</w:t>
      </w:r>
      <w:r w:rsidR="00F67B79" w:rsidRPr="00B11052">
        <w:rPr>
          <w:rFonts w:ascii="Century" w:hAnsi="Century"/>
          <w:sz w:val="26"/>
          <w:szCs w:val="26"/>
        </w:rPr>
        <w:t>сунення</w:t>
      </w:r>
      <w:r w:rsidR="00395D51" w:rsidRPr="00B11052">
        <w:rPr>
          <w:rFonts w:ascii="Century" w:hAnsi="Century"/>
          <w:sz w:val="26"/>
          <w:szCs w:val="26"/>
        </w:rPr>
        <w:t xml:space="preserve"> </w:t>
      </w:r>
      <w:proofErr w:type="spellStart"/>
      <w:r w:rsidR="00395D51" w:rsidRPr="00B11052">
        <w:rPr>
          <w:rFonts w:ascii="Century" w:hAnsi="Century"/>
          <w:sz w:val="26"/>
          <w:szCs w:val="26"/>
        </w:rPr>
        <w:t>несправностей</w:t>
      </w:r>
      <w:proofErr w:type="spellEnd"/>
      <w:r w:rsidR="00395D51" w:rsidRPr="00B11052">
        <w:rPr>
          <w:rFonts w:ascii="Century" w:hAnsi="Century"/>
          <w:sz w:val="26"/>
          <w:szCs w:val="26"/>
        </w:rPr>
        <w:t>.</w:t>
      </w:r>
    </w:p>
    <w:p w14:paraId="54EE47B4" w14:textId="0D8F12B8" w:rsidR="002128D2" w:rsidRPr="00B11052" w:rsidRDefault="002128D2" w:rsidP="00B11052">
      <w:pPr>
        <w:spacing w:after="0" w:line="240" w:lineRule="auto"/>
        <w:ind w:firstLine="708"/>
        <w:jc w:val="both"/>
        <w:rPr>
          <w:rFonts w:ascii="Century" w:hAnsi="Century"/>
          <w:sz w:val="26"/>
          <w:szCs w:val="26"/>
        </w:rPr>
      </w:pPr>
      <w:r w:rsidRPr="00B11052">
        <w:rPr>
          <w:rFonts w:ascii="Century" w:hAnsi="Century"/>
          <w:sz w:val="26"/>
          <w:szCs w:val="26"/>
        </w:rPr>
        <w:t>2) за допомогою аналітично-статистичних звітів СПЗ проводять щотижневий моніторинг споживання ПЕР;</w:t>
      </w:r>
    </w:p>
    <w:p w14:paraId="5441BAA0" w14:textId="7C13C93B" w:rsidR="002128D2" w:rsidRPr="00B11052" w:rsidRDefault="002128D2" w:rsidP="00B11052">
      <w:pPr>
        <w:spacing w:after="0" w:line="240" w:lineRule="auto"/>
        <w:ind w:firstLine="708"/>
        <w:jc w:val="both"/>
        <w:rPr>
          <w:rFonts w:ascii="Century" w:hAnsi="Century"/>
          <w:sz w:val="26"/>
          <w:szCs w:val="26"/>
        </w:rPr>
      </w:pPr>
      <w:r w:rsidRPr="00B11052">
        <w:rPr>
          <w:rFonts w:ascii="Century" w:hAnsi="Century"/>
          <w:sz w:val="26"/>
          <w:szCs w:val="26"/>
        </w:rPr>
        <w:t>3) узагальнюють надані установами, закладами, комунальними підприємствами пропозиції щодо впровадження енергозберігаючих заходів;</w:t>
      </w:r>
    </w:p>
    <w:p w14:paraId="2FC9F8F7" w14:textId="266AD599" w:rsidR="00395D51" w:rsidRPr="00B11052" w:rsidRDefault="0013747A" w:rsidP="00B11052">
      <w:pPr>
        <w:spacing w:after="0" w:line="240" w:lineRule="auto"/>
        <w:ind w:firstLine="708"/>
        <w:jc w:val="both"/>
        <w:rPr>
          <w:rFonts w:ascii="Century" w:hAnsi="Century"/>
          <w:sz w:val="26"/>
          <w:szCs w:val="26"/>
        </w:rPr>
      </w:pPr>
      <w:r w:rsidRPr="00B11052">
        <w:rPr>
          <w:rFonts w:ascii="Century" w:hAnsi="Century"/>
          <w:sz w:val="26"/>
          <w:szCs w:val="26"/>
        </w:rPr>
        <w:t>4</w:t>
      </w:r>
      <w:r w:rsidR="00395D51" w:rsidRPr="00B11052">
        <w:rPr>
          <w:rFonts w:ascii="Century" w:hAnsi="Century"/>
          <w:sz w:val="26"/>
          <w:szCs w:val="26"/>
        </w:rPr>
        <w:t>) беруть участь у тематичних навчаннях, семінарах, тренінгах.</w:t>
      </w:r>
    </w:p>
    <w:p w14:paraId="7260D63F" w14:textId="38FF7F43" w:rsidR="00395D51" w:rsidRPr="00B11052" w:rsidRDefault="00395D51" w:rsidP="00B11052">
      <w:pPr>
        <w:spacing w:after="0" w:line="240" w:lineRule="auto"/>
        <w:ind w:firstLine="708"/>
        <w:jc w:val="both"/>
        <w:rPr>
          <w:rFonts w:ascii="Century" w:hAnsi="Century"/>
          <w:sz w:val="26"/>
          <w:szCs w:val="26"/>
        </w:rPr>
      </w:pPr>
      <w:r w:rsidRPr="00B11052">
        <w:rPr>
          <w:rFonts w:ascii="Century" w:hAnsi="Century"/>
          <w:spacing w:val="-2"/>
          <w:sz w:val="26"/>
          <w:szCs w:val="26"/>
        </w:rPr>
        <w:t>Відповідальні особи, у своїй діяльності керуються чинним законодавством</w:t>
      </w:r>
      <w:r w:rsidRPr="00B11052">
        <w:rPr>
          <w:rFonts w:ascii="Century" w:hAnsi="Century"/>
          <w:sz w:val="26"/>
          <w:szCs w:val="26"/>
        </w:rPr>
        <w:t xml:space="preserve"> України у сфері енергозбереження, р</w:t>
      </w:r>
      <w:r w:rsidR="005A2899" w:rsidRPr="00B11052">
        <w:rPr>
          <w:rFonts w:ascii="Century" w:hAnsi="Century"/>
          <w:sz w:val="26"/>
          <w:szCs w:val="26"/>
        </w:rPr>
        <w:t>ішеннями Городоцької</w:t>
      </w:r>
      <w:r w:rsidRPr="00B11052">
        <w:rPr>
          <w:rFonts w:ascii="Century" w:hAnsi="Century"/>
          <w:sz w:val="26"/>
          <w:szCs w:val="26"/>
        </w:rPr>
        <w:t xml:space="preserve"> міської ради та її виконавчого комітету, розпорядженнями міського голови та цим положенням.</w:t>
      </w:r>
    </w:p>
    <w:p w14:paraId="080829C6" w14:textId="77777777" w:rsidR="00395D51" w:rsidRPr="00B11052" w:rsidRDefault="00395D51" w:rsidP="00B11052">
      <w:pPr>
        <w:spacing w:after="0" w:line="240" w:lineRule="auto"/>
        <w:jc w:val="both"/>
        <w:rPr>
          <w:rFonts w:ascii="Century" w:hAnsi="Century"/>
          <w:sz w:val="26"/>
          <w:szCs w:val="26"/>
        </w:rPr>
      </w:pPr>
    </w:p>
    <w:p w14:paraId="13867762" w14:textId="421D959D" w:rsidR="00395D51" w:rsidRPr="00B11052" w:rsidRDefault="005A2899" w:rsidP="00B11052">
      <w:pPr>
        <w:spacing w:after="0" w:line="240" w:lineRule="auto"/>
        <w:jc w:val="both"/>
        <w:rPr>
          <w:rFonts w:ascii="Century" w:hAnsi="Century"/>
          <w:b/>
          <w:color w:val="000000"/>
          <w:sz w:val="26"/>
          <w:szCs w:val="26"/>
        </w:rPr>
      </w:pPr>
      <w:r w:rsidRPr="00B11052">
        <w:rPr>
          <w:rFonts w:ascii="Century" w:hAnsi="Century"/>
          <w:b/>
          <w:color w:val="000000"/>
          <w:sz w:val="26"/>
          <w:szCs w:val="26"/>
        </w:rPr>
        <w:t xml:space="preserve">Секретар ради </w:t>
      </w:r>
      <w:r w:rsidRPr="00B11052">
        <w:rPr>
          <w:rFonts w:ascii="Century" w:hAnsi="Century"/>
          <w:b/>
          <w:color w:val="000000"/>
          <w:sz w:val="26"/>
          <w:szCs w:val="26"/>
        </w:rPr>
        <w:tab/>
      </w:r>
      <w:r w:rsidRPr="00B11052">
        <w:rPr>
          <w:rFonts w:ascii="Century" w:hAnsi="Century"/>
          <w:b/>
          <w:color w:val="000000"/>
          <w:sz w:val="26"/>
          <w:szCs w:val="26"/>
        </w:rPr>
        <w:tab/>
      </w:r>
      <w:r w:rsidRPr="00B11052">
        <w:rPr>
          <w:rFonts w:ascii="Century" w:hAnsi="Century"/>
          <w:b/>
          <w:color w:val="000000"/>
          <w:sz w:val="26"/>
          <w:szCs w:val="26"/>
        </w:rPr>
        <w:tab/>
      </w:r>
      <w:r w:rsidRPr="00B11052">
        <w:rPr>
          <w:rFonts w:ascii="Century" w:hAnsi="Century"/>
          <w:b/>
          <w:color w:val="000000"/>
          <w:sz w:val="26"/>
          <w:szCs w:val="26"/>
        </w:rPr>
        <w:tab/>
      </w:r>
      <w:r w:rsidRPr="00B11052">
        <w:rPr>
          <w:rFonts w:ascii="Century" w:hAnsi="Century"/>
          <w:b/>
          <w:color w:val="000000"/>
          <w:sz w:val="26"/>
          <w:szCs w:val="26"/>
        </w:rPr>
        <w:tab/>
      </w:r>
      <w:r w:rsidRPr="00B11052">
        <w:rPr>
          <w:rFonts w:ascii="Century" w:hAnsi="Century"/>
          <w:b/>
          <w:color w:val="000000"/>
          <w:sz w:val="26"/>
          <w:szCs w:val="26"/>
        </w:rPr>
        <w:tab/>
      </w:r>
      <w:r w:rsidRPr="00B11052">
        <w:rPr>
          <w:rFonts w:ascii="Century" w:hAnsi="Century"/>
          <w:b/>
          <w:color w:val="000000"/>
          <w:sz w:val="26"/>
          <w:szCs w:val="26"/>
        </w:rPr>
        <w:tab/>
        <w:t>Микола ЛУПІЙ</w:t>
      </w:r>
    </w:p>
    <w:sectPr w:rsidR="00395D51" w:rsidRPr="00B11052" w:rsidSect="006227BC">
      <w:head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173BD" w14:textId="77777777" w:rsidR="00953E36" w:rsidRDefault="00953E36" w:rsidP="006227BC">
      <w:pPr>
        <w:spacing w:after="0" w:line="240" w:lineRule="auto"/>
      </w:pPr>
      <w:r>
        <w:separator/>
      </w:r>
    </w:p>
  </w:endnote>
  <w:endnote w:type="continuationSeparator" w:id="0">
    <w:p w14:paraId="0DAF198A" w14:textId="77777777" w:rsidR="00953E36" w:rsidRDefault="00953E36" w:rsidP="0062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0083B" w14:textId="77777777" w:rsidR="00953E36" w:rsidRDefault="00953E36" w:rsidP="006227BC">
      <w:pPr>
        <w:spacing w:after="0" w:line="240" w:lineRule="auto"/>
      </w:pPr>
      <w:r>
        <w:separator/>
      </w:r>
    </w:p>
  </w:footnote>
  <w:footnote w:type="continuationSeparator" w:id="0">
    <w:p w14:paraId="562D0976" w14:textId="77777777" w:rsidR="00953E36" w:rsidRDefault="00953E36" w:rsidP="006227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889D" w14:textId="47DF85A7" w:rsidR="006227BC" w:rsidRDefault="006227BC">
    <w:pPr>
      <w:pStyle w:val="a7"/>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3"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26B7032"/>
    <w:multiLevelType w:val="hybridMultilevel"/>
    <w:tmpl w:val="B212F738"/>
    <w:lvl w:ilvl="0" w:tplc="B7526056">
      <w:start w:val="1"/>
      <w:numFmt w:val="decimal"/>
      <w:lvlText w:val="%1."/>
      <w:lvlJc w:val="left"/>
      <w:pPr>
        <w:ind w:left="1211" w:hanging="360"/>
      </w:pPr>
      <w:rPr>
        <w:rFonts w:ascii="Calibri" w:eastAsia="Times New Roman" w:hAnsi="Calibri" w:cs="Times New Roman"/>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6CA"/>
    <w:rsid w:val="00011D6F"/>
    <w:rsid w:val="00026E24"/>
    <w:rsid w:val="000368CB"/>
    <w:rsid w:val="00052DF8"/>
    <w:rsid w:val="00063D89"/>
    <w:rsid w:val="0007244B"/>
    <w:rsid w:val="000A1075"/>
    <w:rsid w:val="000B7D3C"/>
    <w:rsid w:val="000C778D"/>
    <w:rsid w:val="00131914"/>
    <w:rsid w:val="0013747A"/>
    <w:rsid w:val="001440FD"/>
    <w:rsid w:val="00164049"/>
    <w:rsid w:val="001647FC"/>
    <w:rsid w:val="001E5A91"/>
    <w:rsid w:val="002128D2"/>
    <w:rsid w:val="00213F71"/>
    <w:rsid w:val="002649FD"/>
    <w:rsid w:val="00280126"/>
    <w:rsid w:val="002839F7"/>
    <w:rsid w:val="00314BA7"/>
    <w:rsid w:val="00395D51"/>
    <w:rsid w:val="0039737C"/>
    <w:rsid w:val="003D6F32"/>
    <w:rsid w:val="00413071"/>
    <w:rsid w:val="00435A12"/>
    <w:rsid w:val="004F4D02"/>
    <w:rsid w:val="004F76A1"/>
    <w:rsid w:val="005207A1"/>
    <w:rsid w:val="00523FF7"/>
    <w:rsid w:val="005853ED"/>
    <w:rsid w:val="005957B1"/>
    <w:rsid w:val="005A2899"/>
    <w:rsid w:val="005A743A"/>
    <w:rsid w:val="005E0409"/>
    <w:rsid w:val="006227BC"/>
    <w:rsid w:val="006339CC"/>
    <w:rsid w:val="00697130"/>
    <w:rsid w:val="00697958"/>
    <w:rsid w:val="006E1055"/>
    <w:rsid w:val="006F6748"/>
    <w:rsid w:val="0071163A"/>
    <w:rsid w:val="00723899"/>
    <w:rsid w:val="00755053"/>
    <w:rsid w:val="007A56E2"/>
    <w:rsid w:val="007C2506"/>
    <w:rsid w:val="007D4A9D"/>
    <w:rsid w:val="0081672F"/>
    <w:rsid w:val="00863133"/>
    <w:rsid w:val="0089317D"/>
    <w:rsid w:val="008E7F00"/>
    <w:rsid w:val="00914244"/>
    <w:rsid w:val="00915B3C"/>
    <w:rsid w:val="00932738"/>
    <w:rsid w:val="00943BB5"/>
    <w:rsid w:val="00953E36"/>
    <w:rsid w:val="009B0E29"/>
    <w:rsid w:val="00A11B42"/>
    <w:rsid w:val="00A834E6"/>
    <w:rsid w:val="00B11052"/>
    <w:rsid w:val="00B3130C"/>
    <w:rsid w:val="00B86713"/>
    <w:rsid w:val="00B91C8C"/>
    <w:rsid w:val="00C22D60"/>
    <w:rsid w:val="00C2345B"/>
    <w:rsid w:val="00C338D3"/>
    <w:rsid w:val="00C616FC"/>
    <w:rsid w:val="00CE4D8B"/>
    <w:rsid w:val="00D56A7E"/>
    <w:rsid w:val="00D73105"/>
    <w:rsid w:val="00D77FD1"/>
    <w:rsid w:val="00DC6040"/>
    <w:rsid w:val="00DE49EC"/>
    <w:rsid w:val="00DF01E0"/>
    <w:rsid w:val="00E73E37"/>
    <w:rsid w:val="00E942A7"/>
    <w:rsid w:val="00EA649B"/>
    <w:rsid w:val="00EB2263"/>
    <w:rsid w:val="00F426CA"/>
    <w:rsid w:val="00F67B79"/>
    <w:rsid w:val="00F84670"/>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CD563"/>
  <w15:docId w15:val="{BD13F647-67DB-4BD8-A62D-0435C7226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227B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6227BC"/>
    <w:rPr>
      <w:rFonts w:ascii="Calibri" w:eastAsia="Times New Roman" w:hAnsi="Calibri" w:cs="Times New Roman"/>
      <w:lang w:eastAsia="uk-UA"/>
    </w:rPr>
  </w:style>
  <w:style w:type="paragraph" w:styleId="a9">
    <w:name w:val="footer"/>
    <w:basedOn w:val="a"/>
    <w:link w:val="aa"/>
    <w:uiPriority w:val="99"/>
    <w:unhideWhenUsed/>
    <w:rsid w:val="006227B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6227BC"/>
    <w:rPr>
      <w:rFonts w:ascii="Calibri" w:eastAsia="Times New Roman" w:hAnsi="Calibri" w:cs="Times New Roman"/>
      <w:lang w:eastAsia="uk-UA"/>
    </w:rPr>
  </w:style>
  <w:style w:type="paragraph" w:customStyle="1" w:styleId="1">
    <w:name w:val="Знак Знак1 Знак"/>
    <w:basedOn w:val="a"/>
    <w:rsid w:val="0039737C"/>
    <w:pPr>
      <w:spacing w:after="0" w:line="240" w:lineRule="auto"/>
    </w:pPr>
    <w:rPr>
      <w:rFonts w:ascii="Verdana" w:hAnsi="Verdana" w:cs="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36681">
      <w:bodyDiv w:val="1"/>
      <w:marLeft w:val="0"/>
      <w:marRight w:val="0"/>
      <w:marTop w:val="0"/>
      <w:marBottom w:val="0"/>
      <w:divBdr>
        <w:top w:val="none" w:sz="0" w:space="0" w:color="auto"/>
        <w:left w:val="none" w:sz="0" w:space="0" w:color="auto"/>
        <w:bottom w:val="none" w:sz="0" w:space="0" w:color="auto"/>
        <w:right w:val="none" w:sz="0" w:space="0" w:color="auto"/>
      </w:divBdr>
    </w:div>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48473-6858-40D2-A4D0-73DBFEAEB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5119</Words>
  <Characters>2918</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16</cp:revision>
  <cp:lastPrinted>2021-12-22T11:49:00Z</cp:lastPrinted>
  <dcterms:created xsi:type="dcterms:W3CDTF">2021-12-05T15:01:00Z</dcterms:created>
  <dcterms:modified xsi:type="dcterms:W3CDTF">2021-12-22T11:49:00Z</dcterms:modified>
</cp:coreProperties>
</file>